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CC9ADED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Kraków, dnia </w:t>
      </w:r>
      <w:r w:rsidR="008E0FFE">
        <w:rPr>
          <w:rFonts w:ascii="Garamond" w:eastAsia="Times New Roman" w:hAnsi="Garamond" w:cs="Times New Roman"/>
          <w:lang w:eastAsia="pl-PL"/>
        </w:rPr>
        <w:t xml:space="preserve">17.01.2023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75D2A5E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8E0FFE">
        <w:rPr>
          <w:rFonts w:ascii="Garamond" w:eastAsia="Times New Roman" w:hAnsi="Garamond" w:cs="Times New Roman"/>
          <w:b/>
          <w:lang w:eastAsia="pl-PL"/>
        </w:rPr>
        <w:t>04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8E0FFE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9A01566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8E0FFE">
        <w:rPr>
          <w:rFonts w:ascii="Garamond" w:hAnsi="Garamond"/>
          <w:b/>
          <w:bCs/>
        </w:rPr>
        <w:t>zespoleń neurochirurgicznych,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0B22108B" w:rsidR="004C2D8D" w:rsidRPr="008E0FFE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E705608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8E0FFE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55503D2D" w14:textId="0C34536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Czy Zamawiający w Pakiecie  nr 1 Stabilizacja płytowa odcinka szyjnego dopuszcza możliwość złożenia oferty na zestaw: </w:t>
      </w:r>
    </w:p>
    <w:p w14:paraId="0247D592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niskoprofilowe płytki dostępne w pełnej gamie wymiarowej w zakresie od 20 do 115mm, ze stopniowaniem co 2,5mm,</w:t>
      </w:r>
    </w:p>
    <w:p w14:paraId="18D8FCEF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wkręty kostne samogwintujące i samonawiercające,  jedno- i dwu-korówkowe (w tym również śruby rewizyjne) o trzech średnicach 3.5mm 4.0mm 4.5mm</w:t>
      </w:r>
      <w:r w:rsidRPr="008E0FFE">
        <w:rPr>
          <w:rFonts w:ascii="Garamond" w:eastAsia="Times New Roman" w:hAnsi="Garamond" w:cs="Times New Roman"/>
          <w:lang w:eastAsia="pl-PL"/>
        </w:rPr>
        <w:t xml:space="preserve"> </w:t>
      </w:r>
      <w:r w:rsidRPr="008E0FFE">
        <w:rPr>
          <w:rFonts w:ascii="Garamond" w:eastAsia="Times New Roman" w:hAnsi="Garamond" w:cs="Times New Roman"/>
          <w:lang w:eastAsia="pl-PL"/>
        </w:rPr>
        <w:br/>
      </w:r>
      <w:r w:rsidRPr="008E0FFE">
        <w:rPr>
          <w:rFonts w:ascii="Garamond" w:eastAsia="Times New Roman" w:hAnsi="Garamond" w:cs="Times New Roman"/>
          <w:iCs/>
          <w:lang w:eastAsia="pl-PL"/>
        </w:rPr>
        <w:t xml:space="preserve">i o długościach w zakresie od 12 do 18mm, stopniowane co 2mm, wprowadzane prostopadle oraz pod wieloma kątami (dając układ rozbieżny względem siebie zapewniając najwyższą siłę utwierdzenia w kości), </w:t>
      </w:r>
    </w:p>
    <w:p w14:paraId="576C2DD3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system posiada możliwość wprowadzenia śruby centralnie w osi płytki,</w:t>
      </w:r>
      <w:r w:rsidRPr="008E0FFE">
        <w:rPr>
          <w:rFonts w:ascii="Garamond" w:eastAsia="Times New Roman" w:hAnsi="Garamond" w:cs="Times New Roman"/>
          <w:iCs/>
          <w:lang w:eastAsia="pl-PL"/>
        </w:rPr>
        <w:t xml:space="preserve"> grubość płytki wraz z mechanizmem blokującym max. 2,3mm</w:t>
      </w:r>
    </w:p>
    <w:p w14:paraId="6C26CFB1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szerokość płytki max. 18mm</w:t>
      </w:r>
    </w:p>
    <w:p w14:paraId="27FAA38D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 xml:space="preserve">proste jednoczesne blokowanie 2 śrub jednym elementem, blokowanie śrub do płytki (w pełni odwracalne) następuje poprzez obrót specjalnego „śmigła” o 90 stopni, </w:t>
      </w:r>
    </w:p>
    <w:p w14:paraId="55612194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iCs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płytki dogięte dopasowane do naturalnej lordozy szyjnej (bez konieczności doginania)</w:t>
      </w:r>
    </w:p>
    <w:p w14:paraId="0A51FDF1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iCs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prosta blokada wkręta pozwalająca na łatwe rewizyjne usunięcie</w:t>
      </w:r>
    </w:p>
    <w:p w14:paraId="0687AB7F" w14:textId="77777777" w:rsidR="008E0FFE" w:rsidRPr="008E0FFE" w:rsidRDefault="008E0FFE" w:rsidP="008E0FFE">
      <w:pPr>
        <w:numPr>
          <w:ilvl w:val="0"/>
          <w:numId w:val="3"/>
        </w:numPr>
        <w:spacing w:after="0" w:line="240" w:lineRule="auto"/>
        <w:ind w:left="426" w:hanging="284"/>
        <w:rPr>
          <w:rFonts w:ascii="Garamond" w:eastAsia="Times New Roman" w:hAnsi="Garamond" w:cs="Times New Roman"/>
          <w:iCs/>
          <w:lang w:eastAsia="pl-PL"/>
        </w:rPr>
      </w:pPr>
      <w:r w:rsidRPr="008E0FFE">
        <w:rPr>
          <w:rFonts w:ascii="Garamond" w:eastAsia="Times New Roman" w:hAnsi="Garamond" w:cs="Times New Roman"/>
          <w:iCs/>
          <w:lang w:eastAsia="pl-PL"/>
        </w:rPr>
        <w:t>zestaw instrumentarium zawierający niezbędne narzędzia łącznie z doginarką płytek umieszczoną w kontenerze przeznaczonym do przechowywania i sterylizacji</w:t>
      </w:r>
      <w:r w:rsidRPr="008E0FFE">
        <w:rPr>
          <w:rFonts w:ascii="Garamond" w:eastAsia="Times New Roman" w:hAnsi="Garamond" w:cs="Times New Roman"/>
          <w:lang w:eastAsia="pl-PL"/>
        </w:rPr>
        <w:t>?</w:t>
      </w:r>
    </w:p>
    <w:p w14:paraId="34E15F51" w14:textId="45127074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F70FDA9" w14:textId="0B77B9AC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dopuszcza. </w:t>
      </w:r>
    </w:p>
    <w:p w14:paraId="1849D577" w14:textId="638F01E8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0490CA8" w14:textId="3A210948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4FB6613C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Prosimy o informację czy Zamawiający dopuści możliwość zaoferowania alternatywnej klatki szyjnej z wypełnieniem o parametrach technicznych:</w:t>
      </w:r>
    </w:p>
    <w:p w14:paraId="22BD1B88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BD5F6FD" w14:textId="27456045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  Implanty do międzykręgowej, przedniej  stabilizacji odcinka szyjnego o kształcie trapezowych bloków z otworem centralnym do wypełnienia biomateriałem lub przeszczepami kostnymi. Anatomiczny kształt umożliwiający uzyskanie maksymalnego kontaktu z kością. Wykonane z tytanu komórkowego Ti6Al4V  o właściwościach hydrofilnych. Materiał klatki  wykonany jest przy użyciu metody – druk 3D. Struktura implantu charakteryzuje się regularną wielkością porów na całej powierzchni 900 </w:t>
      </w:r>
      <w:r w:rsidRPr="008E0FFE">
        <w:rPr>
          <w:rFonts w:ascii="Garamond" w:eastAsia="Times New Roman" w:hAnsi="Garamond" w:cs="Times New Roman"/>
          <w:lang w:val="de-DE" w:eastAsia="pl-PL"/>
        </w:rPr>
        <w:t>μ</w:t>
      </w:r>
      <w:r w:rsidRPr="008E0FFE">
        <w:rPr>
          <w:rFonts w:ascii="Garamond" w:eastAsia="Times New Roman" w:hAnsi="Garamond" w:cs="Times New Roman"/>
          <w:lang w:eastAsia="pl-PL"/>
        </w:rPr>
        <w:t xml:space="preserve">m, a także średnią porowatością wewnętrzną wynoszącą 50 - 55%. Klatka posiada na powierzchni elementy kotwiczące w postaci 4 szt. kolców z góry i 4 szt. kolców z dołu wpływające na wysoką stabilność. Implanty pakowane sterylnie z oznaczeniem daty sterylności .  Wysokości klatek od  4mm do 8mm stopniowane co 1mm, dostępne w 3 rozmiarach postawy: 14x11,5mm, 16x13,5mm oraz 18x15mm z pochyleniem 5 stopnii. Zestaw instrumentarium zawiera narzędzie do zakładania wszystkich wielkości implantów, wraz z implantami </w:t>
      </w:r>
      <w:r w:rsidRPr="008E0FFE">
        <w:rPr>
          <w:rFonts w:ascii="Garamond" w:eastAsia="Times New Roman" w:hAnsi="Garamond" w:cs="Times New Roman"/>
          <w:lang w:eastAsia="pl-PL"/>
        </w:rPr>
        <w:lastRenderedPageBreak/>
        <w:t xml:space="preserve">próbnymi. Metalowe tace instrumentarium z trwałym oznaczeniem na </w:t>
      </w:r>
      <w:r w:rsidR="00A903EA" w:rsidRPr="008E0FFE">
        <w:rPr>
          <w:rFonts w:ascii="Garamond" w:eastAsia="Times New Roman" w:hAnsi="Garamond" w:cs="Times New Roman"/>
          <w:lang w:eastAsia="pl-PL"/>
        </w:rPr>
        <w:t>narzędzia. Dodatkowo</w:t>
      </w:r>
      <w:r w:rsidRPr="008E0FFE">
        <w:rPr>
          <w:rFonts w:ascii="Garamond" w:eastAsia="Times New Roman" w:hAnsi="Garamond" w:cs="Times New Roman"/>
          <w:lang w:eastAsia="pl-PL"/>
        </w:rPr>
        <w:t xml:space="preserve"> rozwieracze typu Caspar .</w:t>
      </w:r>
    </w:p>
    <w:p w14:paraId="6A7125CB" w14:textId="06FC8A71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 Wypełnienie żelopostaciowy , nanocząsteczkowy hydroksyapatyt fosforanowo – wapniowy Ca</w:t>
      </w:r>
      <w:r w:rsidRPr="008E0FFE">
        <w:rPr>
          <w:rFonts w:ascii="Garamond" w:eastAsia="Times New Roman" w:hAnsi="Garamond" w:cs="Times New Roman"/>
          <w:vertAlign w:val="subscript"/>
          <w:lang w:eastAsia="pl-PL"/>
        </w:rPr>
        <w:t>10</w:t>
      </w:r>
      <w:r w:rsidRPr="008E0FFE">
        <w:rPr>
          <w:rFonts w:ascii="Garamond" w:eastAsia="Times New Roman" w:hAnsi="Garamond" w:cs="Times New Roman"/>
          <w:lang w:eastAsia="pl-PL"/>
        </w:rPr>
        <w:t>(PO</w:t>
      </w:r>
      <w:r w:rsidRPr="008E0FFE">
        <w:rPr>
          <w:rFonts w:ascii="Garamond" w:eastAsia="Times New Roman" w:hAnsi="Garamond" w:cs="Times New Roman"/>
          <w:vertAlign w:val="subscript"/>
          <w:lang w:eastAsia="pl-PL"/>
        </w:rPr>
        <w:t>4</w:t>
      </w:r>
      <w:r w:rsidRPr="008E0FFE">
        <w:rPr>
          <w:rFonts w:ascii="Garamond" w:eastAsia="Times New Roman" w:hAnsi="Garamond" w:cs="Times New Roman"/>
          <w:lang w:eastAsia="pl-PL"/>
        </w:rPr>
        <w:t>)</w:t>
      </w:r>
      <w:r w:rsidRPr="008E0FFE">
        <w:rPr>
          <w:rFonts w:ascii="Garamond" w:eastAsia="Times New Roman" w:hAnsi="Garamond" w:cs="Times New Roman"/>
          <w:vertAlign w:val="subscript"/>
          <w:lang w:eastAsia="pl-PL"/>
        </w:rPr>
        <w:t>6</w:t>
      </w:r>
      <w:r w:rsidRPr="008E0FFE">
        <w:rPr>
          <w:rFonts w:ascii="Garamond" w:eastAsia="Times New Roman" w:hAnsi="Garamond" w:cs="Times New Roman"/>
          <w:lang w:eastAsia="pl-PL"/>
        </w:rPr>
        <w:t>(OH)</w:t>
      </w:r>
      <w:r w:rsidRPr="008E0FFE">
        <w:rPr>
          <w:rFonts w:ascii="Garamond" w:eastAsia="Times New Roman" w:hAnsi="Garamond" w:cs="Times New Roman"/>
          <w:vertAlign w:val="subscript"/>
          <w:lang w:eastAsia="pl-PL"/>
        </w:rPr>
        <w:t>2</w:t>
      </w:r>
      <w:r w:rsidRPr="008E0FFE">
        <w:rPr>
          <w:rFonts w:ascii="Garamond" w:eastAsia="Times New Roman" w:hAnsi="Garamond" w:cs="Times New Roman"/>
          <w:lang w:eastAsia="pl-PL"/>
        </w:rPr>
        <w:t xml:space="preserve">  (stosunek wagowy 30/70)</w:t>
      </w:r>
    </w:p>
    <w:p w14:paraId="11C3CD71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- nanocząsteczki o wymiarach od 100nm do 200nm</w:t>
      </w:r>
    </w:p>
    <w:p w14:paraId="1FAD22B9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- żel o ciastowatej konsystencji zachowujący stabilność in situ nawet przy </w:t>
      </w:r>
    </w:p>
    <w:p w14:paraId="5019CF4D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  komórkowym przepływie krwi</w:t>
      </w:r>
    </w:p>
    <w:p w14:paraId="09328A61" w14:textId="2157BACA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- forma sterylnego żelu w wypełnionej strzykawce gotowej do użycia    o pojemności 0,5ml</w:t>
      </w:r>
    </w:p>
    <w:p w14:paraId="3DA59187" w14:textId="13CCC016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0F1CFE1" w14:textId="341A940A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8E0FFE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 nie dopuszcza. </w:t>
      </w:r>
    </w:p>
    <w:p w14:paraId="75D54338" w14:textId="1180A6CB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070BE9A" w14:textId="77777777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23DED5E3" w14:textId="1C908CA8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Czy w celu miarkowania kar umownych Sprzedający dokona modyfikacji postanowień projektu przyszłej umowy w zakresie zapisów §8 ust. 1: </w:t>
      </w:r>
    </w:p>
    <w:p w14:paraId="36C020BC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1.</w:t>
      </w:r>
      <w:r w:rsidRPr="008E0FFE">
        <w:rPr>
          <w:rFonts w:ascii="Garamond" w:eastAsia="Times New Roman" w:hAnsi="Garamond" w:cs="Times New Roman"/>
          <w:lang w:eastAsia="pl-PL"/>
        </w:rPr>
        <w:tab/>
        <w:t xml:space="preserve">Sprzedający zapłaci Kupującemu karę umowną za niewykonanie lub nienależyte wykonanie umowy w następujących przypadkach i wysokości: </w:t>
      </w:r>
    </w:p>
    <w:p w14:paraId="03B499C7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2)</w:t>
      </w:r>
      <w:r w:rsidRPr="008E0FFE">
        <w:rPr>
          <w:rFonts w:ascii="Garamond" w:eastAsia="Times New Roman" w:hAnsi="Garamond" w:cs="Times New Roman"/>
          <w:lang w:eastAsia="pl-PL"/>
        </w:rPr>
        <w:tab/>
        <w:t xml:space="preserve">0,2 % wartości </w:t>
      </w:r>
      <w:r w:rsidRPr="008E0FFE">
        <w:rPr>
          <w:rFonts w:ascii="Garamond" w:eastAsia="Times New Roman" w:hAnsi="Garamond" w:cs="Times New Roman"/>
          <w:u w:val="single"/>
          <w:lang w:eastAsia="pl-PL"/>
        </w:rPr>
        <w:t>brutto</w:t>
      </w:r>
      <w:r w:rsidRPr="008E0FFE">
        <w:rPr>
          <w:rFonts w:ascii="Garamond" w:eastAsia="Times New Roman" w:hAnsi="Garamond" w:cs="Times New Roman"/>
          <w:lang w:eastAsia="pl-PL"/>
        </w:rPr>
        <w:t xml:space="preserve"> opóźnionej dostawy, za każdy rozpoczęty dzień opóźnienia w dostarczeniu towaru, </w:t>
      </w:r>
      <w:r w:rsidRPr="008E0FFE">
        <w:rPr>
          <w:rFonts w:ascii="Garamond" w:eastAsia="Times New Roman" w:hAnsi="Garamond" w:cs="Times New Roman"/>
          <w:u w:val="single"/>
          <w:lang w:eastAsia="pl-PL"/>
        </w:rPr>
        <w:t>jednak nie więcej niż 10% wartości brutto opóźnionej dostawy</w:t>
      </w:r>
    </w:p>
    <w:p w14:paraId="427C13BA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3)</w:t>
      </w:r>
      <w:r w:rsidRPr="008E0FFE">
        <w:rPr>
          <w:rFonts w:ascii="Garamond" w:eastAsia="Times New Roman" w:hAnsi="Garamond" w:cs="Times New Roman"/>
          <w:lang w:eastAsia="pl-PL"/>
        </w:rPr>
        <w:tab/>
        <w:t xml:space="preserve">0,2 % wartości </w:t>
      </w:r>
      <w:r w:rsidRPr="008E0FFE">
        <w:rPr>
          <w:rFonts w:ascii="Garamond" w:eastAsia="Times New Roman" w:hAnsi="Garamond" w:cs="Times New Roman"/>
          <w:u w:val="single"/>
          <w:lang w:eastAsia="pl-PL"/>
        </w:rPr>
        <w:t>brutto</w:t>
      </w:r>
      <w:r w:rsidRPr="008E0FFE">
        <w:rPr>
          <w:rFonts w:ascii="Garamond" w:eastAsia="Times New Roman" w:hAnsi="Garamond" w:cs="Times New Roman"/>
          <w:lang w:eastAsia="pl-PL"/>
        </w:rPr>
        <w:t xml:space="preserve"> reklamowanego towaru, za każdy rozpoczęty dzień opóźnienia dostawy towaru niewadliwego w miejsce towaru objętego reklamacją, </w:t>
      </w:r>
      <w:r w:rsidRPr="008E0FFE">
        <w:rPr>
          <w:rFonts w:ascii="Garamond" w:eastAsia="Times New Roman" w:hAnsi="Garamond" w:cs="Times New Roman"/>
          <w:u w:val="single"/>
          <w:lang w:eastAsia="pl-PL"/>
        </w:rPr>
        <w:t>jednak nie więcej niż 10% wartości brutto reklamowanego towaru</w:t>
      </w:r>
    </w:p>
    <w:p w14:paraId="2D0D9565" w14:textId="77777777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 xml:space="preserve">4) </w:t>
      </w:r>
      <w:r w:rsidRPr="008E0FFE">
        <w:rPr>
          <w:rFonts w:ascii="Garamond" w:eastAsia="Times New Roman" w:hAnsi="Garamond" w:cs="Times New Roman"/>
          <w:u w:val="single"/>
          <w:lang w:eastAsia="pl-PL"/>
        </w:rPr>
        <w:t>0,5%</w:t>
      </w:r>
      <w:r w:rsidRPr="008E0FFE">
        <w:rPr>
          <w:rFonts w:ascii="Garamond" w:eastAsia="Times New Roman" w:hAnsi="Garamond" w:cs="Times New Roman"/>
          <w:lang w:eastAsia="pl-PL"/>
        </w:rPr>
        <w:t xml:space="preserve"> całkowitej wartości brutto umowy za każdy przypadek nieprzedłożenia informacji o której mowa w §6 ust. 2.</w:t>
      </w:r>
    </w:p>
    <w:p w14:paraId="492CE77C" w14:textId="6574612E" w:rsidR="00A903EA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3CC10A03" w14:textId="77777777" w:rsidR="00A903EA" w:rsidRP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DC23F00" w14:textId="77777777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4 </w:t>
      </w:r>
    </w:p>
    <w:p w14:paraId="2DDD3664" w14:textId="484D6FAE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1A7C57FF" w14:textId="0156F8B1" w:rsid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008F5D18" w14:textId="77777777" w:rsidR="00A903EA" w:rsidRP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8969576" w14:textId="77777777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5 </w:t>
      </w:r>
    </w:p>
    <w:p w14:paraId="2F4897EC" w14:textId="726C877C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Czy Zamawiający wyrazi zgodę na dodanie załącznika do umowy w postaci umowy przechowania oraz udostępnienia (dot. § 4), których wzory przesyłamy w załączeniu?</w:t>
      </w:r>
    </w:p>
    <w:p w14:paraId="0EF8FAC0" w14:textId="38DAB7B3" w:rsid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39C61F40" w14:textId="77777777" w:rsidR="00A903EA" w:rsidRP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6AE89EE" w14:textId="77777777" w:rsid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6 </w:t>
      </w:r>
    </w:p>
    <w:p w14:paraId="00B84C34" w14:textId="55353E94" w:rsidR="008E0FFE" w:rsidRPr="008E0FFE" w:rsidRDefault="008E0FFE" w:rsidP="008E0FF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E0FFE">
        <w:rPr>
          <w:rFonts w:ascii="Garamond" w:eastAsia="Times New Roman" w:hAnsi="Garamond" w:cs="Times New Roman"/>
          <w:lang w:eastAsia="pl-PL"/>
        </w:rPr>
        <w:t>Czy ze względu na brak odpowiednich zapisów zamawiający uzupełni treść umowy o wskazanie 3 dniowego terminu na przekazanie wykonawcy informacji o zużyciu towaru z depozytu? (dot. § 4)</w:t>
      </w:r>
    </w:p>
    <w:p w14:paraId="0F8B7F82" w14:textId="3433828B" w:rsidR="008E0FFE" w:rsidRPr="008E0FFE" w:rsidRDefault="00A903EA" w:rsidP="008E0F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Nie. </w:t>
      </w:r>
    </w:p>
    <w:p w14:paraId="263B4E07" w14:textId="4C2D3005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6D2480E" w14:textId="2C2338E6" w:rsidR="008E0FFE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147A3B57" w14:textId="65B6C20C" w:rsidR="008E0FFE" w:rsidRDefault="00A903EA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Załącznikiem do niniejszych odpowiedzi są wzory umów – załącznik nr 1 i załącznik nr 2 do odpowiedzi na pytania (dotyczy pytania</w:t>
      </w:r>
      <w:r w:rsidR="000F3B2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5). </w:t>
      </w:r>
    </w:p>
    <w:p w14:paraId="4F2C4298" w14:textId="77777777" w:rsidR="008E0FFE" w:rsidRPr="004C2D8D" w:rsidRDefault="008E0FFE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6538B570" w:rsidR="0058759D" w:rsidRPr="00221C3F" w:rsidRDefault="00A43542" w:rsidP="00221C3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sectPr w:rsidR="0058759D" w:rsidRPr="0022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C8"/>
    <w:multiLevelType w:val="hybridMultilevel"/>
    <w:tmpl w:val="8E9C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B9603CE"/>
    <w:multiLevelType w:val="hybridMultilevel"/>
    <w:tmpl w:val="2E5E4AD8"/>
    <w:lvl w:ilvl="0" w:tplc="7F6A9F5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49238">
    <w:abstractNumId w:val="1"/>
  </w:num>
  <w:num w:numId="2" w16cid:durableId="1334140428">
    <w:abstractNumId w:val="2"/>
  </w:num>
  <w:num w:numId="3" w16cid:durableId="358361050">
    <w:abstractNumId w:val="0"/>
  </w:num>
  <w:num w:numId="4" w16cid:durableId="211158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F3B2B"/>
    <w:rsid w:val="00121037"/>
    <w:rsid w:val="001E47D7"/>
    <w:rsid w:val="00221C3F"/>
    <w:rsid w:val="00287266"/>
    <w:rsid w:val="004C2D8D"/>
    <w:rsid w:val="0050132E"/>
    <w:rsid w:val="0058759D"/>
    <w:rsid w:val="00727C51"/>
    <w:rsid w:val="008E0FFE"/>
    <w:rsid w:val="009C41B5"/>
    <w:rsid w:val="00A43542"/>
    <w:rsid w:val="00A903EA"/>
    <w:rsid w:val="00B37687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21</cp:revision>
  <dcterms:created xsi:type="dcterms:W3CDTF">2021-12-21T07:11:00Z</dcterms:created>
  <dcterms:modified xsi:type="dcterms:W3CDTF">2023-01-17T08:05:00Z</dcterms:modified>
</cp:coreProperties>
</file>